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CHILDCARE WORKER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rtl w:val="0"/>
              </w:rPr>
              <w:t xml:space="preserve">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Child Care Worker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accountable for the safety and well-being of the children in their care while their families are at work. They supervise the children throughout the day to ensure that they play and interact in a safe and appropriate manner.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Childcare Worker tends to the needs of children while also promoting early development. They may also assist younger children with kindergarten preparation or older children with homework.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Plan and implement a developmentally appropriate curriculum with a focus on the age range of children in the room in which you are positioned.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Consistently devising innovative ways to keep children actively engaged.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Instilling knowledge in children through play and fun.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Observe children for daily overall health and ongoing observations for signs of potential learning or behavioral concerns.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Prepare written documentation for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Executive Director/Supervisor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parents, and/or guardian.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Assess children's abilities, interests, and needs and discuss progress or concerns with other staff members and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Promote positive interactions and behavior guidance and direction through ongoing supervision of classroom, playground, group, individual, and routine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Engage each child individually everyday and make every effort to greet every parent, guardian, and caregiver.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Engage in and collaborate as a team member in the care of the children and the overall operation of the program; maintain regular and open communication with peers and all other coworkers.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Certification Registered Early Childhood Education Certificate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 of experience in the same field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Knowledge of the Occupation Health and Safety Act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Valid Standard First Aid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Early childhood education programs and techniques should be known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Understanding of child development theory and practice</w: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to maintain classroom discipline and exercise control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applicable safety procedures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to provide a safe and nurturing environment for children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to create and deliver educational programs and/or workshops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ability to explain effectively to parents and/or guardians of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ability to influence and persuade others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job is set in a classroom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Typical working hours are: [insert]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long hours or after classes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Physical labour may be required;  lifting, pushing, or pulling of objects weighing up to 50 pounds.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EB4EyWGF/H8dSN0SL5n82JduQ==">AMUW2mWEIaCR1+XDOnv10lBqrK3htV1ox8OnmaWfNFsdlVxM0ejfAw0xy4axI5LZY6uwcEdCiyGinNfZU+Nim8gNPVRaVA1pq4pEESW8WjPQvshjV4WV4u/ZOuaCU91pEwRo79Qo8xEw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